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6AD3" w:rsidRPr="00BA6AD3" w:rsidRDefault="00BA6AD3" w:rsidP="00BA6AD3">
      <w:pPr>
        <w:shd w:val="clear" w:color="auto" w:fill="C0A154"/>
        <w:spacing w:after="0" w:line="240" w:lineRule="auto"/>
        <w:outlineLvl w:val="2"/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</w:pPr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>STF reafirma inconstitucionalidade do ‘</w:t>
      </w:r>
      <w:proofErr w:type="spellStart"/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>revogaço</w:t>
      </w:r>
      <w:proofErr w:type="spellEnd"/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 xml:space="preserve">’ das resoluções do </w:t>
      </w:r>
      <w:proofErr w:type="spellStart"/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>Conama</w:t>
      </w:r>
      <w:proofErr w:type="spellEnd"/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 xml:space="preserve"> sobre </w:t>
      </w:r>
      <w:proofErr w:type="spellStart"/>
      <w:r w:rsidRPr="00BA6AD3">
        <w:rPr>
          <w:rFonts w:ascii="Georgia" w:eastAsia="Times New Roman" w:hAnsi="Georgia" w:cs="Times New Roman"/>
          <w:b/>
          <w:bCs/>
          <w:color w:val="333333"/>
          <w:sz w:val="32"/>
          <w:szCs w:val="32"/>
          <w:lang w:eastAsia="pt-BR"/>
        </w:rPr>
        <w:t>APPs</w:t>
      </w:r>
      <w:proofErr w:type="spellEnd"/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b/>
          <w:bCs/>
          <w:i/>
          <w:iCs/>
          <w:color w:val="274E13"/>
          <w:sz w:val="24"/>
          <w:szCs w:val="24"/>
          <w:lang w:eastAsia="pt-BR"/>
        </w:rPr>
        <w:t xml:space="preserve">Em decisão nesta terça (14), os ministros decidiram por unanimidade pelo restabelecimento das resoluções que estabelecem critérios para proteção de dunas, restingas e manguezais, e sobre licenciamento de </w:t>
      </w:r>
      <w:proofErr w:type="gramStart"/>
      <w:r w:rsidRPr="00BA6AD3">
        <w:rPr>
          <w:rFonts w:ascii="Verdana" w:eastAsia="Times New Roman" w:hAnsi="Verdana" w:cs="Arial"/>
          <w:b/>
          <w:bCs/>
          <w:i/>
          <w:iCs/>
          <w:color w:val="274E13"/>
          <w:sz w:val="24"/>
          <w:szCs w:val="24"/>
          <w:lang w:eastAsia="pt-BR"/>
        </w:rPr>
        <w:t>irrigação</w:t>
      </w:r>
      <w:proofErr w:type="gramEnd"/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pt-BR"/>
        </w:rPr>
        <w:t xml:space="preserve">Por: Duda </w:t>
      </w:r>
      <w:proofErr w:type="spellStart"/>
      <w:r w:rsidRPr="00BA6AD3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pt-BR"/>
        </w:rPr>
        <w:t>Menegassi</w:t>
      </w:r>
      <w:proofErr w:type="spellEnd"/>
      <w:r w:rsidRPr="00BA6AD3">
        <w:rPr>
          <w:rFonts w:ascii="Georgia" w:eastAsia="Times New Roman" w:hAnsi="Georgia" w:cs="Arial"/>
          <w:b/>
          <w:bCs/>
          <w:i/>
          <w:iCs/>
          <w:color w:val="333333"/>
          <w:sz w:val="24"/>
          <w:szCs w:val="24"/>
          <w:lang w:eastAsia="pt-BR"/>
        </w:rPr>
        <w:t xml:space="preserve"> | </w:t>
      </w:r>
      <w:r w:rsidRPr="00BA6AD3">
        <w:rPr>
          <w:rFonts w:ascii="Georgia" w:eastAsia="Times New Roman" w:hAnsi="Georgia" w:cs="Arial"/>
          <w:b/>
          <w:bCs/>
          <w:color w:val="333333"/>
          <w:sz w:val="24"/>
          <w:szCs w:val="24"/>
          <w:lang w:eastAsia="pt-BR"/>
        </w:rPr>
        <w:t>15 de dezembro de 2021</w:t>
      </w:r>
    </w:p>
    <w:tbl>
      <w:tblPr>
        <w:tblW w:w="0" w:type="auto"/>
        <w:jc w:val="center"/>
        <w:tblCellSpacing w:w="0" w:type="dxa"/>
        <w:shd w:val="clear" w:color="auto" w:fill="FFFFFF"/>
        <w:tblCellMar>
          <w:top w:w="134" w:type="dxa"/>
          <w:left w:w="134" w:type="dxa"/>
          <w:bottom w:w="134" w:type="dxa"/>
          <w:right w:w="134" w:type="dxa"/>
        </w:tblCellMar>
        <w:tblLook w:val="04A0"/>
      </w:tblPr>
      <w:tblGrid>
        <w:gridCol w:w="8772"/>
      </w:tblGrid>
      <w:tr w:rsidR="00BA6AD3" w:rsidRPr="00BA6AD3" w:rsidTr="00BA6A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6AD3" w:rsidRPr="00BA6AD3" w:rsidRDefault="00BA6AD3" w:rsidP="00BA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6AD3">
              <w:rPr>
                <w:rFonts w:ascii="Times New Roman" w:eastAsia="Times New Roman" w:hAnsi="Times New Roman" w:cs="Times New Roman"/>
                <w:noProof/>
                <w:color w:val="333333"/>
                <w:sz w:val="24"/>
                <w:szCs w:val="24"/>
                <w:lang w:eastAsia="pt-BR"/>
              </w:rPr>
              <w:drawing>
                <wp:inline distT="0" distB="0" distL="0" distR="0">
                  <wp:extent cx="4918430" cy="3281737"/>
                  <wp:effectExtent l="19050" t="0" r="0" b="0"/>
                  <wp:docPr id="1" name="Imagem 1" descr="https://oeco.org.br/wp-content/uploads/2021/12/Oeco2_Rosa-Weber_Foto-Rosinei-Coutinho_SCO-STF.jpg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oeco.org.br/wp-content/uploads/2021/12/Oeco2_Rosa-Weber_Foto-Rosinei-Coutinho_SCO-STF.jpg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20144" cy="3282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6AD3" w:rsidRPr="00BA6AD3" w:rsidTr="00BA6AD3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BA6AD3" w:rsidRPr="00BA6AD3" w:rsidRDefault="00BA6AD3" w:rsidP="00BA6A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pt-BR"/>
              </w:rPr>
            </w:pPr>
            <w:r w:rsidRPr="00BA6AD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pt-BR"/>
              </w:rPr>
              <w:t xml:space="preserve">Por unanimidade, ministros do STF concordam com o parecer da relatora, Rosa Weber, sobre inconstitucionalidade do </w:t>
            </w:r>
            <w:proofErr w:type="spellStart"/>
            <w:r w:rsidRPr="00BA6AD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pt-BR"/>
              </w:rPr>
              <w:t>revogaço</w:t>
            </w:r>
            <w:proofErr w:type="spellEnd"/>
            <w:r w:rsidRPr="00BA6AD3">
              <w:rPr>
                <w:rFonts w:ascii="Georgia" w:eastAsia="Times New Roman" w:hAnsi="Georgia" w:cs="Times New Roman"/>
                <w:color w:val="333333"/>
                <w:sz w:val="24"/>
                <w:szCs w:val="24"/>
                <w:lang w:eastAsia="pt-BR"/>
              </w:rPr>
              <w:t>. Foto: Rosinei Coutinho/SCO-STF</w:t>
            </w:r>
          </w:p>
        </w:tc>
      </w:tr>
    </w:tbl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Em sessão virtual nesta terça-feira (14), o plenário do Supremo Tribunal Federal (STF) julgou, por unanimidade, inconstitucional o “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revogaço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” das resoluções do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Conama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 que estabelecem os critérios para Áreas de Preservação Permanente (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APPs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), como restingas e manguezais, e que dispõe sobre o licenciamento de empreendimentos de irrigação. As resoluções haviam sido anuladas em setembro de 2020, durante reunião do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Conama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, já no novo formato imposto pelo governo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Bolsonaro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 – com menos conselheiros e menos participação da sociedade civil. Desde novembro, entretanto, a revogação já estava suspensa, por </w:t>
      </w:r>
      <w:hyperlink r:id="rId5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decisão liminar da ministra Rosa Weber</w:t>
        </w:r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, relatora do julgamento (ADPF 747 e 749).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lastRenderedPageBreak/>
        <w:t>Durante a plenária virtual, todos os ministros acompanharam o voto de Weber pela inconstitucionalidade da </w:t>
      </w:r>
      <w:hyperlink r:id="rId6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 xml:space="preserve">resolução nº 500 do </w:t>
        </w:r>
        <w:proofErr w:type="spellStart"/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Conama</w:t>
        </w:r>
        <w:proofErr w:type="spellEnd"/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, onde foi estabelecida a revogação das resoluções nº 284/2001 (sobre o licenciamento de empreendimentos de irrigação), nº 302/2002 (sobre os parâmetros, definições e limites de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APPs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 de reservatórios artificiais e o regime de uso do entorno) e 303/2002 (sobre parâmetros, definições e limites de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APPs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, como restingas, dunas e manguezais).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A revogação das resoluções foi proposta pelo próprio governo federal, que atualmente detém a maioria dos assentos no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Conama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, com a justificativa de que haveria sobreposição normativa entre as normativas do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Conama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 xml:space="preserve"> e o Código Florestal. No Código, entretanto, não há definição dos critérios para estabelecimento das 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APPs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, lacuna normativa preenchida justamente pelas resoluções, </w:t>
      </w:r>
      <w:hyperlink r:id="rId7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 xml:space="preserve">conforme explicou à época a subprocuradora do Ministério Público Federal, Sandra </w:t>
        </w:r>
        <w:proofErr w:type="spellStart"/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Cureau</w:t>
        </w:r>
        <w:proofErr w:type="spellEnd"/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.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Na mesma reunião que votou o “</w:t>
      </w:r>
      <w:proofErr w:type="spellStart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revogaço</w:t>
      </w:r>
      <w:proofErr w:type="spellEnd"/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”, também foi aprovada uma nova resolução que prevê a </w:t>
      </w:r>
      <w:hyperlink r:id="rId8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incineração de poluentes nos processos de fabricação de cimento</w:t>
        </w:r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(nº 499/2020). A nova norma também foi questionada junto ao STF, que optou pela manutenção da resolução.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As Arguições de Descumprimento de Preceito Fundamental (ADPF) </w:t>
      </w:r>
      <w:hyperlink r:id="rId9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747</w:t>
        </w:r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e </w:t>
      </w:r>
      <w:hyperlink r:id="rId10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749</w:t>
        </w:r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foram protocoladas pelo PT e pela Rede Sustentabilidade, respectivamente. Uma terceira, a </w:t>
      </w:r>
      <w:hyperlink r:id="rId11" w:tgtFrame="_blank" w:history="1">
        <w:r w:rsidRPr="00BA6AD3">
          <w:rPr>
            <w:rFonts w:ascii="Verdana" w:eastAsia="Times New Roman" w:hAnsi="Verdana" w:cs="Arial"/>
            <w:color w:val="CC3300"/>
            <w:sz w:val="24"/>
            <w:szCs w:val="24"/>
            <w:u w:val="single"/>
            <w:lang w:eastAsia="pt-BR"/>
          </w:rPr>
          <w:t>ADPF nº 748</w:t>
        </w:r>
      </w:hyperlink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, sobre o mesmo tema, foi apresentada pelo PSB e ainda está em sessão virtual, mas mantém o entendimento de inconstitucionalidade.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t xml:space="preserve">Por: Duda </w:t>
      </w:r>
      <w:proofErr w:type="spellStart"/>
      <w:r w:rsidRPr="00BA6AD3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t>Menegassi</w:t>
      </w:r>
      <w:proofErr w:type="spellEnd"/>
      <w:r w:rsidRPr="00BA6AD3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br/>
        <w:t>Fonte: </w:t>
      </w:r>
      <w:hyperlink r:id="rId12" w:tgtFrame="_blank" w:history="1">
        <w:r w:rsidRPr="00BA6AD3">
          <w:rPr>
            <w:rFonts w:ascii="Verdana" w:eastAsia="Times New Roman" w:hAnsi="Verdana" w:cs="Arial"/>
            <w:b/>
            <w:bCs/>
            <w:color w:val="CC3300"/>
            <w:sz w:val="24"/>
            <w:szCs w:val="24"/>
            <w:u w:val="single"/>
            <w:lang w:eastAsia="pt-BR"/>
          </w:rPr>
          <w:t>O Eco</w:t>
        </w:r>
      </w:hyperlink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r w:rsidRPr="00BA6AD3">
        <w:rPr>
          <w:rFonts w:ascii="Verdana" w:eastAsia="Times New Roman" w:hAnsi="Verdana" w:cs="Arial"/>
          <w:b/>
          <w:bCs/>
          <w:color w:val="333333"/>
          <w:sz w:val="24"/>
          <w:szCs w:val="24"/>
          <w:lang w:eastAsia="pt-BR"/>
        </w:rPr>
        <w:t> </w:t>
      </w:r>
    </w:p>
    <w:p w:rsidR="00BA6AD3" w:rsidRPr="00BA6AD3" w:rsidRDefault="00BA6AD3" w:rsidP="00BA6AD3">
      <w:pPr>
        <w:shd w:val="clear" w:color="auto" w:fill="C0A154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pt-BR"/>
        </w:rPr>
      </w:pPr>
      <w:proofErr w:type="gramStart"/>
      <w:r w:rsidRPr="00BA6AD3">
        <w:rPr>
          <w:rFonts w:ascii="Georgia" w:eastAsia="Times New Roman" w:hAnsi="Georgia" w:cs="Arial"/>
          <w:color w:val="333333"/>
          <w:sz w:val="24"/>
          <w:szCs w:val="24"/>
          <w:lang w:eastAsia="pt-BR"/>
        </w:rPr>
        <w:t>https</w:t>
      </w:r>
      <w:proofErr w:type="gramEnd"/>
      <w:r w:rsidRPr="00BA6AD3">
        <w:rPr>
          <w:rFonts w:ascii="Georgia" w:eastAsia="Times New Roman" w:hAnsi="Georgia" w:cs="Arial"/>
          <w:color w:val="333333"/>
          <w:sz w:val="24"/>
          <w:szCs w:val="24"/>
          <w:lang w:eastAsia="pt-BR"/>
        </w:rPr>
        <w:t>://amazonia.org.br/stf-reafirma-inconstitucionalidade-do-revogaco-das-resolucoes-do-conama-sobre-apps/</w:t>
      </w:r>
    </w:p>
    <w:p w:rsidR="00F42B95" w:rsidRPr="00BA6AD3" w:rsidRDefault="00F42B95">
      <w:pPr>
        <w:rPr>
          <w:sz w:val="24"/>
          <w:szCs w:val="24"/>
        </w:rPr>
      </w:pPr>
    </w:p>
    <w:sectPr w:rsidR="00F42B95" w:rsidRPr="00BA6AD3" w:rsidSect="00F42B9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BA6AD3"/>
    <w:rsid w:val="00BA6AD3"/>
    <w:rsid w:val="00F42B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B95"/>
  </w:style>
  <w:style w:type="paragraph" w:styleId="Ttulo3">
    <w:name w:val="heading 3"/>
    <w:basedOn w:val="Normal"/>
    <w:link w:val="Ttulo3Char"/>
    <w:uiPriority w:val="9"/>
    <w:qFormat/>
    <w:rsid w:val="00BA6AD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A6AD3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A6A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BA6AD3"/>
    <w:rPr>
      <w:i/>
      <w:iCs/>
    </w:rPr>
  </w:style>
  <w:style w:type="character" w:styleId="Forte">
    <w:name w:val="Strong"/>
    <w:basedOn w:val="Fontepargpadro"/>
    <w:uiPriority w:val="22"/>
    <w:qFormat/>
    <w:rsid w:val="00BA6AD3"/>
    <w:rPr>
      <w:b/>
      <w:bCs/>
    </w:rPr>
  </w:style>
  <w:style w:type="character" w:customStyle="1" w:styleId="published">
    <w:name w:val="published"/>
    <w:basedOn w:val="Fontepargpadro"/>
    <w:rsid w:val="00BA6AD3"/>
  </w:style>
  <w:style w:type="character" w:styleId="Hyperlink">
    <w:name w:val="Hyperlink"/>
    <w:basedOn w:val="Fontepargpadro"/>
    <w:uiPriority w:val="99"/>
    <w:semiHidden/>
    <w:unhideWhenUsed/>
    <w:rsid w:val="00BA6AD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6A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6A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5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77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co.org.br/reportagens/nova-regra-deixara-trabalhadores-da-cadeia-do-cimento-mais-expostos-a-poluentes-perigosos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eco.org.br/reportagens/entenda-como-fica-a-protecao-dos-manguezais-e-restingas-sem-a-resolucao-do-conama/" TargetMode="External"/><Relationship Id="rId12" Type="http://schemas.openxmlformats.org/officeDocument/2006/relationships/hyperlink" Target="https://oeco.org.br/noticias/stf-reafirma-inconstitucionalidade-do-revogaco-das-resolucoes-do-conama-sobre-apps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n.gov.br/en/web/dou/-/resolucao-conama/mma-n-500-de-19-de-outubro-de-2020-284006009" TargetMode="External"/><Relationship Id="rId11" Type="http://schemas.openxmlformats.org/officeDocument/2006/relationships/hyperlink" Target="http://portal.stf.jus.br/processos/detalhe.asp?incidente=6018018" TargetMode="External"/><Relationship Id="rId5" Type="http://schemas.openxmlformats.org/officeDocument/2006/relationships/hyperlink" Target="https://oeco.org.br/noticias/rosa-weber-derruba-decisao-do-conama-que-tirava-protecao-de-restingas-e-manguezais/" TargetMode="External"/><Relationship Id="rId10" Type="http://schemas.openxmlformats.org/officeDocument/2006/relationships/hyperlink" Target="http://portal.stf.jus.br/processos/detalhe.asp?incidente=6019001" TargetMode="External"/><Relationship Id="rId4" Type="http://schemas.openxmlformats.org/officeDocument/2006/relationships/image" Target="media/image1.jpeg"/><Relationship Id="rId9" Type="http://schemas.openxmlformats.org/officeDocument/2006/relationships/hyperlink" Target="https://portal.stf.jus.br/processos/detalhe.asp?incidente=60166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597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Everthon Cosme de Sousa</dc:creator>
  <cp:lastModifiedBy>Everthon Cosme de Sousa</cp:lastModifiedBy>
  <cp:revision>1</cp:revision>
  <dcterms:created xsi:type="dcterms:W3CDTF">2021-12-20T16:02:00Z</dcterms:created>
  <dcterms:modified xsi:type="dcterms:W3CDTF">2021-12-20T16:06:00Z</dcterms:modified>
</cp:coreProperties>
</file>