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90" w:rsidRPr="00015F90" w:rsidRDefault="00015F90" w:rsidP="00015F90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1A4C3F"/>
          <w:kern w:val="36"/>
          <w:sz w:val="60"/>
          <w:szCs w:val="60"/>
          <w:lang w:eastAsia="pt-BR"/>
        </w:rPr>
      </w:pPr>
      <w:r w:rsidRPr="00015F90">
        <w:rPr>
          <w:rFonts w:ascii="Times New Roman" w:eastAsia="Times New Roman" w:hAnsi="Times New Roman" w:cs="Times New Roman"/>
          <w:color w:val="1A4C3F"/>
          <w:kern w:val="36"/>
          <w:sz w:val="60"/>
          <w:szCs w:val="60"/>
          <w:lang w:eastAsia="pt-BR"/>
        </w:rPr>
        <w:t xml:space="preserve">Transbordo de petróleo a menos de </w:t>
      </w:r>
      <w:proofErr w:type="gramStart"/>
      <w:r w:rsidRPr="00015F90">
        <w:rPr>
          <w:rFonts w:ascii="Times New Roman" w:eastAsia="Times New Roman" w:hAnsi="Times New Roman" w:cs="Times New Roman"/>
          <w:color w:val="1A4C3F"/>
          <w:kern w:val="36"/>
          <w:sz w:val="60"/>
          <w:szCs w:val="60"/>
          <w:lang w:eastAsia="pt-BR"/>
        </w:rPr>
        <w:t>4km</w:t>
      </w:r>
      <w:proofErr w:type="gramEnd"/>
      <w:r w:rsidRPr="00015F90">
        <w:rPr>
          <w:rFonts w:ascii="Times New Roman" w:eastAsia="Times New Roman" w:hAnsi="Times New Roman" w:cs="Times New Roman"/>
          <w:color w:val="1A4C3F"/>
          <w:kern w:val="36"/>
          <w:sz w:val="60"/>
          <w:szCs w:val="60"/>
          <w:lang w:eastAsia="pt-BR"/>
        </w:rPr>
        <w:t xml:space="preserve"> da ESEC Tamoios alarma ambientalistas de Angra</w:t>
      </w: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</w:pPr>
      <w:r w:rsidRPr="00015F90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pt-BR"/>
        </w:rPr>
        <w:t>Emanuel Alencar</w:t>
      </w:r>
      <w:r w:rsidRPr="00015F9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  <w:br/>
        <w:t xml:space="preserve">domingo, 18 agosto 2019 </w:t>
      </w:r>
      <w:proofErr w:type="gramStart"/>
      <w:r w:rsidRPr="00015F9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  <w:t>10:12</w:t>
      </w:r>
      <w:proofErr w:type="gramEnd"/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color w:val="4C4C4C"/>
          <w:sz w:val="26"/>
          <w:szCs w:val="26"/>
          <w:lang w:eastAsia="pt-BR"/>
        </w:rPr>
        <w:drawing>
          <wp:inline distT="0" distB="0" distL="0" distR="0">
            <wp:extent cx="5586413" cy="3724275"/>
            <wp:effectExtent l="0" t="0" r="0" b="0"/>
            <wp:docPr id="2" name="Imagem 2" descr="https://www.oeco.org.br/wp-content/uploads/2019/08/20041007-lagoaazul-wk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eco.org.br/wp-content/uploads/2019/08/20041007-lagoaazul-wk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13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Área de transferência de derivados de petróleo entre navios e barcaças está localizada na zona de amortecimento do Parque Estadual da Ilha Grande (</w:t>
      </w:r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acima</w:t>
      </w: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). Foto: Eduardo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Gouvea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/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Wikiparques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.</w:t>
      </w: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Em ofício encaminhado no último dia 19 de junho à Coordenação Regional fluminense do Instituto Chico Mendes (</w:t>
      </w:r>
      <w:proofErr w:type="spellStart"/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ICMBio</w:t>
      </w:r>
      <w:proofErr w:type="spellEnd"/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), o diretor de Licenciamento Ambiental do Instituto Estadual do Ambiente (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Inea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), Alexandre Cruz, pede a anuência do órgão federal para o licenciamento de duas atividades que estão deixando ambientalistas de Angra dos Reis com cabelo em pé. A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Navemestra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Serviços de Navegação, com sede no bairro do Gradim, em São Gonçalo, requer a licença para fazer transferência de derivados de petróleo entre navios e barcaças (</w:t>
      </w:r>
      <w:proofErr w:type="spellStart"/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ship-to-barge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) e o abastecimento de embarcações a partir de barcaças (</w:t>
      </w:r>
      <w:proofErr w:type="spellStart"/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bunkering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) na Baía de Ilha Grande.</w:t>
      </w: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lastRenderedPageBreak/>
        <w:t>Como a área a ser licenciada (</w:t>
      </w:r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cerca de 8,7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mil hectares) está justamente na Zona de Amortecimento do </w:t>
      </w:r>
      <w:hyperlink r:id="rId6" w:history="1">
        <w:r w:rsidRPr="00015F90">
          <w:rPr>
            <w:rFonts w:ascii="Times New Roman" w:eastAsia="Times New Roman" w:hAnsi="Times New Roman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Parque Estadual da Ilha Grande</w:t>
        </w:r>
      </w:hyperlink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 e a apenas 3,9 quilômetros da </w:t>
      </w:r>
      <w:hyperlink r:id="rId7" w:history="1">
        <w:r w:rsidRPr="00015F90">
          <w:rPr>
            <w:rFonts w:ascii="Times New Roman" w:eastAsia="Times New Roman" w:hAnsi="Times New Roman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Estação Ecológica (ESEC) Tamoios</w:t>
        </w:r>
      </w:hyperlink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, a ONG Sociedade Angrense de Proteção Ecológica (Sapê) reagiu. Em documento, reivindica que o licenciamento seja feito pelo </w:t>
      </w:r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Ibama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, por se tratar de águas marinhas, nas proximidades de uma unidade de conservação federal (ESEC Tamoios). Pede ainda a realização de audiências públicas “para dar publicidade ao processo de licenciamento para que possíveis salvaguardas possam ser acordadas antes do início das operações”.</w:t>
      </w: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A ameaça a uma paisagem que recebeu recentemente o título de patrimônio da humanidade pela </w:t>
      </w:r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Unesco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preocupa conselheiros da ESEC Tamoios, formada por 29 ilhas, lajes e rochedos, representando 4% da Baía da Ilha Grande. Em maio, o presidente Jair Bolsonaro defendeu a extinção da unidade de conservação, </w:t>
      </w:r>
      <w:hyperlink r:id="rId8" w:tgtFrame="_blank" w:history="1">
        <w:r w:rsidRPr="00015F90">
          <w:rPr>
            <w:rFonts w:ascii="Times New Roman" w:eastAsia="Times New Roman" w:hAnsi="Times New Roman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como mostrou ((o)</w:t>
        </w:r>
        <w:proofErr w:type="gramStart"/>
        <w:r w:rsidRPr="00015F90">
          <w:rPr>
            <w:rFonts w:ascii="Times New Roman" w:eastAsia="Times New Roman" w:hAnsi="Times New Roman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)eco</w:t>
        </w:r>
        <w:proofErr w:type="gramEnd"/>
      </w:hyperlink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. Ele foi multado pelo </w:t>
      </w:r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Ibama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em 2012 por pescar na área proibida. A multa foi anulada este ano.</w:t>
      </w: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color w:val="4C4C4C"/>
          <w:sz w:val="26"/>
          <w:szCs w:val="26"/>
          <w:lang w:eastAsia="pt-BR"/>
        </w:rPr>
        <w:drawing>
          <wp:inline distT="0" distB="0" distL="0" distR="0">
            <wp:extent cx="5861538" cy="3429000"/>
            <wp:effectExtent l="0" t="0" r="6350" b="0"/>
            <wp:docPr id="1" name="Imagem 1" descr="https://www.oeco.org.br/wp-content/uploads/2019/08/Naveme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eco.org.br/wp-content/uploads/2019/08/Navemestr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38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Navemestra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.</w:t>
      </w: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Em artigo publicado na revista “Portos e Navios” em julho de 2017, a especialista em Engenharia e Gestão Portuária pela Universidade Federal de Santa Catarina (UFSC) Fernanda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Rumblesperger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sublinhou que há diversos pontos nebulosos neste tipo de operação envolvendo derivados de petróleo, o que dá margem a diversas interpretações. “A falta de uma legislação única demonstra que assunto (…) não se encontra completamente consolidado, não existindo, em âmbito estadual, um regramento que traga as definições técnicas e processuais, tais como as presentes na IN (instrução normativa) nº 16/2013-</w:t>
      </w:r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Ibama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. Tal fato é bastante preocupante, uma vez que dá espaço à livre interpretação dos órgãos competentes para definir as situações nas quais as autorizações poderão ser concedidas”, </w:t>
      </w:r>
      <w:hyperlink r:id="rId10" w:history="1">
        <w:r w:rsidRPr="00015F90">
          <w:rPr>
            <w:rFonts w:ascii="Times New Roman" w:eastAsia="Times New Roman" w:hAnsi="Times New Roman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escreveu</w:t>
        </w:r>
      </w:hyperlink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.</w:t>
      </w:r>
    </w:p>
    <w:p w:rsidR="00015F90" w:rsidRPr="00015F90" w:rsidRDefault="00015F90" w:rsidP="00015F90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</w:pPr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lastRenderedPageBreak/>
        <w:t>A transferência navio-barcaça (</w:t>
      </w:r>
      <w:proofErr w:type="spellStart"/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ship-to-barge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), considerada muito delicada e perigosa por especialistas, seria inédita na Baía da Ilha Grande. A operação mais comum realizada pelo Terminal da Baía da Ilha Grande (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Tebig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) é a</w:t>
      </w:r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 </w:t>
      </w:r>
      <w:proofErr w:type="spellStart"/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ship-to-ship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 (navio para navio), embora essa modalidade tenha sido vetada em abril de 2015. Em março daquele ano um vazamento em um tanque de lastro do navio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Gothemburg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, que transferia óleo cru para a embarcação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Buena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Suerte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, no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Tebig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, resultou no vazamento de centenas de litros de óleo no mar. A poluição chegou à Baía de Sepetiba. Mais tarde, o </w:t>
      </w:r>
      <w:proofErr w:type="spell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Inea</w:t>
      </w:r>
      <w:proofErr w:type="spell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passou a autorizar a</w:t>
      </w:r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 </w:t>
      </w:r>
      <w:proofErr w:type="spellStart"/>
      <w:r w:rsidRPr="00015F90">
        <w:rPr>
          <w:rFonts w:ascii="Times New Roman" w:eastAsia="Times New Roman" w:hAnsi="Times New Roman" w:cs="Times New Roman"/>
          <w:i/>
          <w:iCs/>
          <w:color w:val="4C4C4C"/>
          <w:sz w:val="26"/>
          <w:szCs w:val="26"/>
          <w:bdr w:val="none" w:sz="0" w:space="0" w:color="auto" w:frame="1"/>
          <w:lang w:eastAsia="pt-BR"/>
        </w:rPr>
        <w:t>ship-to-ship</w:t>
      </w:r>
      <w:proofErr w:type="spellEnd"/>
      <w:proofErr w:type="gramStart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> mas</w:t>
      </w:r>
      <w:proofErr w:type="gramEnd"/>
      <w:r w:rsidRPr="00015F90">
        <w:rPr>
          <w:rFonts w:ascii="Times New Roman" w:eastAsia="Times New Roman" w:hAnsi="Times New Roman" w:cs="Times New Roman"/>
          <w:color w:val="4C4C4C"/>
          <w:sz w:val="26"/>
          <w:szCs w:val="26"/>
          <w:lang w:eastAsia="pt-BR"/>
        </w:rPr>
        <w:t xml:space="preserve"> apenas com os navios atracados.</w:t>
      </w:r>
    </w:p>
    <w:p w:rsidR="00681FF3" w:rsidRDefault="00015F90"/>
    <w:p w:rsidR="00015F90" w:rsidRDefault="00015F90">
      <w:hyperlink r:id="rId11" w:history="1">
        <w:r>
          <w:rPr>
            <w:rStyle w:val="Hyperlink"/>
          </w:rPr>
          <w:t>https://www.oeco.org.br/colunas/emanuel-alencar/transbordo-de-petroleo-a-menos-de-4km-da-esec-tamoios-alarma-ambientalistas-de-angra/</w:t>
        </w:r>
      </w:hyperlink>
    </w:p>
    <w:sectPr w:rsidR="0001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90"/>
    <w:rsid w:val="00015F90"/>
    <w:rsid w:val="001A2234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F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or">
    <w:name w:val="autor"/>
    <w:basedOn w:val="Fontepargpadro"/>
    <w:rsid w:val="00015F90"/>
  </w:style>
  <w:style w:type="character" w:customStyle="1" w:styleId="data">
    <w:name w:val="data"/>
    <w:basedOn w:val="Fontepargpadro"/>
    <w:rsid w:val="00015F90"/>
  </w:style>
  <w:style w:type="character" w:styleId="nfase">
    <w:name w:val="Emphasis"/>
    <w:basedOn w:val="Fontepargpadro"/>
    <w:uiPriority w:val="20"/>
    <w:qFormat/>
    <w:rsid w:val="00015F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5F9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F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or">
    <w:name w:val="autor"/>
    <w:basedOn w:val="Fontepargpadro"/>
    <w:rsid w:val="00015F90"/>
  </w:style>
  <w:style w:type="character" w:customStyle="1" w:styleId="data">
    <w:name w:val="data"/>
    <w:basedOn w:val="Fontepargpadro"/>
    <w:rsid w:val="00015F90"/>
  </w:style>
  <w:style w:type="character" w:styleId="nfase">
    <w:name w:val="Emphasis"/>
    <w:basedOn w:val="Fontepargpadro"/>
    <w:uiPriority w:val="20"/>
    <w:qFormat/>
    <w:rsid w:val="00015F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5F9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5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o.org.br/noticias/por-que-tem-que-ter-la-uma-estacao-ecologica-diz-bolsonaro-sobre-tamoi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kiparques.org/wiki/Esta%C3%A7%C3%A3o_Ecol%C3%B3gica_de_Tamoio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kiparques.org/wiki/Parque_Estadual_da_Ilha_Grande" TargetMode="External"/><Relationship Id="rId11" Type="http://schemas.openxmlformats.org/officeDocument/2006/relationships/hyperlink" Target="https://www.oeco.org.br/colunas/emanuel-alencar/transbordo-de-petroleo-a-menos-de-4km-da-esec-tamoios-alarma-ambientalistas-de-angr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ortosenavios.com.br/artigos/artigos-de-opiniao/operacoes-ship-to-ship-no-brasil-em-busca-de-uma-regulaca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2019-10-07T20:03:00Z</dcterms:created>
  <dcterms:modified xsi:type="dcterms:W3CDTF">2019-10-07T20:06:00Z</dcterms:modified>
</cp:coreProperties>
</file>